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63870" w14:textId="5F77F772" w:rsidR="00731191" w:rsidRDefault="00000000">
      <w:pPr>
        <w:pStyle w:val="Title"/>
      </w:pPr>
      <w:sdt>
        <w:sdtPr>
          <w:alias w:val="Title"/>
          <w:tag w:val=""/>
          <w:id w:val="726351117"/>
          <w:placeholder>
            <w:docPart w:val="09D6F85168D8564DAD1DBFB37313E7A3"/>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00FA791E">
            <w:t>Marketing &amp; Revenue Analytics</w:t>
          </w:r>
        </w:sdtContent>
      </w:sdt>
    </w:p>
    <w:p w14:paraId="3DAFE70C" w14:textId="5BECEDB3" w:rsidR="00731191" w:rsidRDefault="00FA791E">
      <w:pPr>
        <w:pStyle w:val="Title2"/>
      </w:pPr>
      <w:r>
        <w:t>Dylan Anderson</w:t>
      </w:r>
    </w:p>
    <w:p w14:paraId="4732915C" w14:textId="48A875E8" w:rsidR="00FA791E" w:rsidRDefault="00FA791E" w:rsidP="00FA791E">
      <w:pPr>
        <w:pStyle w:val="Title2"/>
      </w:pPr>
      <w:r>
        <w:t>Northwestern MSDS 457</w:t>
      </w:r>
    </w:p>
    <w:p w14:paraId="4BD16BF9" w14:textId="77777777" w:rsidR="00731191" w:rsidRDefault="00000000">
      <w:r>
        <w:br w:type="page"/>
      </w:r>
    </w:p>
    <w:bookmarkStart w:id="0" w:name="_Toc409783206"/>
    <w:p w14:paraId="7E78F11C" w14:textId="39F023C3" w:rsidR="00731191" w:rsidRDefault="00000000">
      <w:pPr>
        <w:pStyle w:val="SectionTitle"/>
      </w:pPr>
      <w:sdt>
        <w:sdtPr>
          <w:alias w:val="Title"/>
          <w:tag w:val=""/>
          <w:id w:val="-1756435886"/>
          <w:placeholder>
            <w:docPart w:val="E1959A0045996049BA4CAEDC85D07C33"/>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00FA791E">
            <w:t>Marketing &amp; Revenue Analytics</w:t>
          </w:r>
        </w:sdtContent>
      </w:sdt>
      <w:bookmarkEnd w:id="0"/>
    </w:p>
    <w:p w14:paraId="6D08EB26" w14:textId="03E383AC" w:rsidR="00325E21" w:rsidRDefault="00325E21">
      <w:r>
        <w:t xml:space="preserve">According to three sources the MLB </w:t>
      </w:r>
      <w:r w:rsidR="00D30448">
        <w:t>was</w:t>
      </w:r>
      <w:r>
        <w:t xml:space="preserve"> </w:t>
      </w:r>
      <w:r w:rsidR="00D30448">
        <w:t>amidst</w:t>
      </w:r>
      <w:r>
        <w:t xml:space="preserve"> a downward trend in attendance. The downward streak started in 2012 and is part of an overall downward trend since a high in 2007. The individual articles highlight different takeaways for the trend. The </w:t>
      </w:r>
      <w:r w:rsidR="003F0155">
        <w:t>first</w:t>
      </w:r>
      <w:r>
        <w:t xml:space="preserve"> article highlighted that 17 of the 30 teams experienced lows</w:t>
      </w:r>
      <w:r w:rsidR="00AB0527" w:rsidRPr="00AB0527">
        <w:t xml:space="preserve"> </w:t>
      </w:r>
      <w:r w:rsidR="00AB0527">
        <w:t>(Associated Press, 2018)</w:t>
      </w:r>
      <w:r>
        <w:t xml:space="preserve">. That article also offered a potential explanation not presented in the other two articles. Citing an unusually cold and wet year as the cause of a 4% decrease in league wide attendance. </w:t>
      </w:r>
      <w:r w:rsidR="00D30448">
        <w:t>Along with a</w:t>
      </w:r>
      <w:r>
        <w:t xml:space="preserve"> potential structural issue with the league affecting attendance was teams being all in or all out early </w:t>
      </w:r>
      <w:r w:rsidR="00AB0527">
        <w:t>each year (Associated Press, 2018)</w:t>
      </w:r>
      <w:r>
        <w:t xml:space="preserve">. This is likely a result of salary inequality where teams must rebuild regularly and fans are uninterested in teams that aren’t attempting to win. </w:t>
      </w:r>
      <w:r w:rsidR="0079425E">
        <w:t xml:space="preserve">This article is reaching conclusions of decreasing attendance that is driven by data. Utilizing the total collected attendance compared to the precious year and the collected attendance utilized for each year. It does also do some speculating on the causes. Particularly the weather as a reason for low sales was speculating the cause of the observed data highlighted in the trend. </w:t>
      </w:r>
    </w:p>
    <w:p w14:paraId="00C6AFA5" w14:textId="189D66AF" w:rsidR="00731191" w:rsidRDefault="00325E21">
      <w:r>
        <w:t xml:space="preserve">The </w:t>
      </w:r>
      <w:r w:rsidR="00AB0527">
        <w:t xml:space="preserve">article from </w:t>
      </w:r>
      <w:proofErr w:type="spellStart"/>
      <w:r w:rsidR="00AB0527">
        <w:t>Allentuck</w:t>
      </w:r>
      <w:proofErr w:type="spellEnd"/>
      <w:r w:rsidR="00AB0527">
        <w:t xml:space="preserve"> and Draper in </w:t>
      </w:r>
      <w:r>
        <w:t>NY times article offers some of the attempts teams undertook to combat the decline in attendance. This includes monthly plans where fans can attend as many games as they want, removing box seats for other premium lounge seats</w:t>
      </w:r>
      <w:r w:rsidR="00AB0527">
        <w:t xml:space="preserve"> (</w:t>
      </w:r>
      <w:proofErr w:type="spellStart"/>
      <w:r w:rsidR="00AB0527">
        <w:t>Allentuck</w:t>
      </w:r>
      <w:proofErr w:type="spellEnd"/>
      <w:r w:rsidR="00AB0527">
        <w:t xml:space="preserve"> &amp; Draper, 2019)</w:t>
      </w:r>
      <w:r>
        <w:t>. The systemic issues highlighted in this article are the aging demographic and wide disparity in team performance where multiple teams lose over 100 games. This article uniquely does present that despite the decrease in ticket revenue across the league, the league revenue is increasing. Particularly due to the rise in media rights revenue</w:t>
      </w:r>
      <w:r w:rsidR="00AB0527">
        <w:t xml:space="preserve"> (</w:t>
      </w:r>
      <w:proofErr w:type="spellStart"/>
      <w:r w:rsidR="00AB0527">
        <w:t>Allentuck</w:t>
      </w:r>
      <w:proofErr w:type="spellEnd"/>
      <w:r w:rsidR="00AB0527">
        <w:t xml:space="preserve"> &amp; Draper, 2019)</w:t>
      </w:r>
      <w:r>
        <w:t>.</w:t>
      </w:r>
      <w:r w:rsidR="0079425E">
        <w:t xml:space="preserve"> This article does utilize data to inform the premise of declining attendance. Showing the decline in average attendance across the recent years along with the prices and </w:t>
      </w:r>
      <w:r w:rsidR="0079425E">
        <w:lastRenderedPageBreak/>
        <w:t>details of teams with monthly ticket plans. This article is mostly about the presentation of data related to declining attendance and the different plans teams have enacted to reverse the apparent trend in attendance.</w:t>
      </w:r>
    </w:p>
    <w:p w14:paraId="6880BE40" w14:textId="255C4E09" w:rsidR="00325E21" w:rsidRDefault="00325E21">
      <w:r>
        <w:t>The sporting news article is also about the prolonged streak of declining attendance but centers on the potential decrease in MLB relevance. This is the result of a survey that showed 44% of sports fans would be less interested in the MLB when it restarted after a lockout</w:t>
      </w:r>
      <w:r w:rsidR="00AB0527">
        <w:t xml:space="preserve"> (Foster, 2022)</w:t>
      </w:r>
      <w:r>
        <w:t>. This was accompanied by the finding that 54% of the poll had no interest in the MLB anyways. This article also mentioned the aging fanbase specifically that the average age was 57 as compared to other major leagues in their 40s. The article claims the league was operating on a strategy of “if we play it, they will come”</w:t>
      </w:r>
      <w:r w:rsidR="00AB0527">
        <w:t xml:space="preserve"> (Foster, 2022).</w:t>
      </w:r>
      <w:r>
        <w:t xml:space="preserve"> Believing that the inability to change in ways that appealed to younger audiences has resulted in declining relevancy which explains declining attendance.</w:t>
      </w:r>
      <w:r w:rsidR="0079425E">
        <w:t xml:space="preserve"> This article speculates more than the previous two articles as it utilizes data from a survey around a lockout to speculate that the MLB is declining in relevancy which may also be the result of outdated strategy. </w:t>
      </w:r>
      <w:r w:rsidR="003C11E0">
        <w:t>Possibly relying more on a gut feeling than utilizing data to support the claim of declining relevancy.</w:t>
      </w:r>
    </w:p>
    <w:p w14:paraId="7BF9EF1D" w14:textId="1999FB0D" w:rsidR="00325E21" w:rsidRDefault="00325E21">
      <w:r>
        <w:t xml:space="preserve">The similarities of the articles were that they were posted at different times along the decline that the league had hit an attendance low. </w:t>
      </w:r>
      <w:r w:rsidR="003C11E0">
        <w:t xml:space="preserve">They all utilized attendance data to support the main topic of declining attendance at the time in the MLB. </w:t>
      </w:r>
      <w:r>
        <w:t>They all mention systemic issues that the league failed to fix</w:t>
      </w:r>
      <w:r w:rsidR="0079425E">
        <w:t xml:space="preserve"> such as</w:t>
      </w:r>
      <w:r>
        <w:t xml:space="preserve"> uncompetitive teams and the aging fanbase appeared in multiple articles. But they also highlight different parts of the problem like competitive imbalance, potential modern ticketing solutions, uniquely bad spring weather or declining relevance that show many different areas that contribute to attendance.</w:t>
      </w:r>
      <w:r w:rsidR="003C11E0">
        <w:t xml:space="preserve"> Some of the aspects of the problem were backed up by data like the number of teams with 100+ losses and others were more based on </w:t>
      </w:r>
      <w:r w:rsidR="003C11E0">
        <w:lastRenderedPageBreak/>
        <w:t xml:space="preserve">feelings or assumptions like the impact of bad weather on attendance or qualitative changes in relevancy that were unique to that </w:t>
      </w:r>
      <w:r w:rsidR="00AB0527">
        <w:t>article</w:t>
      </w:r>
      <w:r w:rsidR="003C11E0">
        <w:t>.</w:t>
      </w:r>
    </w:p>
    <w:p w14:paraId="0767C7EC" w14:textId="54EEADAB" w:rsidR="0079425E" w:rsidRDefault="0079425E">
      <w:r>
        <w:t xml:space="preserve">These articles contrast with a more recent trend </w:t>
      </w:r>
      <w:r w:rsidR="00AB0527">
        <w:t xml:space="preserve">highlighted by </w:t>
      </w:r>
      <w:r>
        <w:t xml:space="preserve">that states the MLB has risen over the last four years. This article highlights the total attendance numbers for the season potentially reaching 74 million for the first time since 2013 which is the </w:t>
      </w:r>
      <w:r w:rsidR="00AB0527">
        <w:t>time</w:t>
      </w:r>
      <w:r>
        <w:t xml:space="preserve"> of the previous articles highlighting attendance decline</w:t>
      </w:r>
      <w:r w:rsidR="00AB0527">
        <w:t xml:space="preserve"> (Mazzeo, 2026)</w:t>
      </w:r>
      <w:r>
        <w:t>. The selection of the years associated with declining attendance and highlighting data for consecutive years of attendance increases uses data to show a</w:t>
      </w:r>
      <w:r w:rsidR="00D30448">
        <w:t xml:space="preserve"> strong conclusion of</w:t>
      </w:r>
      <w:r>
        <w:t xml:space="preserve"> change in attendance trends historically and contrary to the opinion that the MLB is declining in relevancy.</w:t>
      </w:r>
      <w:r w:rsidR="00AB0527">
        <w:t xml:space="preserve"> </w:t>
      </w:r>
    </w:p>
    <w:p w14:paraId="0341B477" w14:textId="546E5825" w:rsidR="00325E21" w:rsidRDefault="00325E21">
      <w:r>
        <w:t>To test for the effect of different factors the schedule with attendance numbers was pulled from Baseball Reference for 2021-2025</w:t>
      </w:r>
      <w:r w:rsidR="00AB0527">
        <w:t xml:space="preserve"> (Sports Reference LLC, n.d.-a, n.d.-b, n.d.-c, n.d.-d, n.d.-e)</w:t>
      </w:r>
      <w:r>
        <w:t xml:space="preserve">. </w:t>
      </w:r>
      <w:r w:rsidR="003C11E0">
        <w:t xml:space="preserve">Data from this includes the date, day of the week, teams, attendance, day or night that was used along with the game number, time, score, pitchers that was not utilized. </w:t>
      </w:r>
      <w:r>
        <w:t xml:space="preserve">The data was then filtered down to home games for the Cardinals. This was then joined with the promotion’s dates from the MLB website </w:t>
      </w:r>
      <w:r w:rsidR="00AB0527" w:rsidRPr="00AB0527">
        <w:t>(Major League Baseball, n.d.-a, n.d.-b, n.d.-c, n.d.-d, n.d.-e)</w:t>
      </w:r>
      <w:r>
        <w:t xml:space="preserve">. The promotions were classified into categories like bobblehead, shirt, hat, cup, jersey or </w:t>
      </w:r>
      <w:proofErr w:type="gramStart"/>
      <w:r>
        <w:t>kids</w:t>
      </w:r>
      <w:proofErr w:type="gramEnd"/>
      <w:r>
        <w:t xml:space="preserve"> promos. Shirt includes all types of shirt giveaways that were not jerseys. Hats include</w:t>
      </w:r>
      <w:r w:rsidR="00EC7138">
        <w:t>s</w:t>
      </w:r>
      <w:r>
        <w:t xml:space="preserve"> baseball hats, visors or winter hats. Cups </w:t>
      </w:r>
      <w:proofErr w:type="gramStart"/>
      <w:r>
        <w:t>includes</w:t>
      </w:r>
      <w:proofErr w:type="gramEnd"/>
      <w:r>
        <w:t xml:space="preserve"> tumbler, steins or other cups. Kids promos </w:t>
      </w:r>
      <w:r w:rsidR="00EC7138">
        <w:t>include</w:t>
      </w:r>
      <w:r>
        <w:t xml:space="preserve"> promotions directed at kids, mainly the games where kids can run the bases after. These were measured in individual variables for each game with a Boolean 1 (true) or 0 (false) if each game featured that kind of giveaway. This was done to test the individual effect of each kind of giveaway in a linear regression to predict the attendance of a game. A Boolean variable was created for weekend games that was defined as Friday night, Saturday or Sunday Games. A </w:t>
      </w:r>
      <w:r>
        <w:lastRenderedPageBreak/>
        <w:t>Boolean Night variable was created to reflect the D/N variable that was in the Baseball Reference dataset</w:t>
      </w:r>
      <w:r w:rsidR="00D30448">
        <w:t>.</w:t>
      </w:r>
    </w:p>
    <w:p w14:paraId="2CA8260C" w14:textId="21F7EFFB" w:rsidR="00325E21" w:rsidRDefault="00325E21">
      <w:r>
        <w:t xml:space="preserve">The first model called Attendance Model 1 uses the giveaway items and the time of the game as possible explanatory variables in the prediction of attendance. Using Bobblehead, Jersey, Hat, Shirt, Cup, Weekend and Night. </w:t>
      </w:r>
    </w:p>
    <w:p w14:paraId="1C4AF60B" w14:textId="77777777" w:rsidR="00325E21" w:rsidRDefault="00325E21" w:rsidP="00325E21">
      <w:pPr>
        <w:keepNext/>
      </w:pPr>
      <w:r w:rsidRPr="00325E21">
        <w:rPr>
          <w:noProof/>
        </w:rPr>
        <w:drawing>
          <wp:inline distT="0" distB="0" distL="0" distR="0" wp14:anchorId="2E376045" wp14:editId="1D750704">
            <wp:extent cx="5207000" cy="2044700"/>
            <wp:effectExtent l="0" t="0" r="0" b="0"/>
            <wp:docPr id="462613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13770" name=""/>
                    <pic:cNvPicPr/>
                  </pic:nvPicPr>
                  <pic:blipFill>
                    <a:blip r:embed="rId9"/>
                    <a:stretch>
                      <a:fillRect/>
                    </a:stretch>
                  </pic:blipFill>
                  <pic:spPr>
                    <a:xfrm>
                      <a:off x="0" y="0"/>
                      <a:ext cx="5207000" cy="2044700"/>
                    </a:xfrm>
                    <a:prstGeom prst="rect">
                      <a:avLst/>
                    </a:prstGeom>
                  </pic:spPr>
                </pic:pic>
              </a:graphicData>
            </a:graphic>
          </wp:inline>
        </w:drawing>
      </w:r>
    </w:p>
    <w:p w14:paraId="4FA4D3E3" w14:textId="5B5BBAA9" w:rsidR="00325E21" w:rsidRPr="00325E21" w:rsidRDefault="00325E21" w:rsidP="00325E21">
      <w:pPr>
        <w:pStyle w:val="Caption"/>
        <w:jc w:val="center"/>
        <w:rPr>
          <w:sz w:val="20"/>
          <w:szCs w:val="20"/>
        </w:rPr>
      </w:pPr>
      <w:r w:rsidRPr="00325E21">
        <w:rPr>
          <w:sz w:val="20"/>
          <w:szCs w:val="20"/>
        </w:rPr>
        <w:t xml:space="preserve">Table </w:t>
      </w:r>
      <w:r w:rsidRPr="00325E21">
        <w:rPr>
          <w:sz w:val="20"/>
          <w:szCs w:val="20"/>
        </w:rPr>
        <w:fldChar w:fldCharType="begin"/>
      </w:r>
      <w:r w:rsidRPr="00325E21">
        <w:rPr>
          <w:sz w:val="20"/>
          <w:szCs w:val="20"/>
        </w:rPr>
        <w:instrText xml:space="preserve"> SEQ Table \* ARABIC </w:instrText>
      </w:r>
      <w:r w:rsidRPr="00325E21">
        <w:rPr>
          <w:sz w:val="20"/>
          <w:szCs w:val="20"/>
        </w:rPr>
        <w:fldChar w:fldCharType="separate"/>
      </w:r>
      <w:r w:rsidR="0079425E">
        <w:rPr>
          <w:noProof/>
          <w:sz w:val="20"/>
          <w:szCs w:val="20"/>
        </w:rPr>
        <w:t>1</w:t>
      </w:r>
      <w:r w:rsidRPr="00325E21">
        <w:rPr>
          <w:sz w:val="20"/>
          <w:szCs w:val="20"/>
        </w:rPr>
        <w:fldChar w:fldCharType="end"/>
      </w:r>
    </w:p>
    <w:p w14:paraId="74F36C81" w14:textId="65105B16" w:rsidR="00325E21" w:rsidRDefault="0079425E" w:rsidP="00325E21">
      <w:r>
        <w:t xml:space="preserve">The observed model has an r squared value of </w:t>
      </w:r>
      <w:r w:rsidRPr="0079425E">
        <w:t>0.1657</w:t>
      </w:r>
      <w:r>
        <w:t xml:space="preserve">. Meaning 16.57% of the variance is explained by the variables in this model. </w:t>
      </w:r>
      <w:r w:rsidR="00325E21">
        <w:t xml:space="preserve">Looking at the results of the model the only three of the included variables are statistically significant. Weekend is the strongest predictor which his significant beyond the .1% level and Shirt is significant at the 1% level and Bobblehead is significant at the 10%. The intercept is also highly significant at the .1% level. </w:t>
      </w:r>
      <w:r w:rsidR="00F7775D">
        <w:t xml:space="preserve">Night is approaching significance at the 10% level. This may be related to the weekend variable as Saturday and Sunday games tend to be played during the day so the negative coefficient may represent that most night games are played during the week. </w:t>
      </w:r>
      <w:r w:rsidR="005803FC">
        <w:t xml:space="preserve">These p values represent the likelihood of seeing the observed coefficients if the true effect of the variable was zero. </w:t>
      </w:r>
      <w:r w:rsidR="00F03679">
        <w:t>I</w:t>
      </w:r>
      <w:r w:rsidR="005803FC">
        <w:t xml:space="preserve">f the probability falls below a chosen </w:t>
      </w:r>
      <w:r w:rsidR="00F03679">
        <w:t>standard,</w:t>
      </w:r>
      <w:r w:rsidR="005803FC">
        <w:t xml:space="preserve"> then it can be determined that the variable does have a</w:t>
      </w:r>
      <w:r w:rsidR="00D30448">
        <w:t>n</w:t>
      </w:r>
      <w:r w:rsidR="005803FC">
        <w:t xml:space="preserve"> effect.</w:t>
      </w:r>
      <w:r w:rsidR="00F03679">
        <w:t xml:space="preserve"> </w:t>
      </w:r>
      <w:r w:rsidR="00D30448">
        <w:t>W</w:t>
      </w:r>
      <w:r w:rsidR="00F03679">
        <w:t xml:space="preserve">ith the data collected it is unlikely that bobblehead and particularly weekend and </w:t>
      </w:r>
      <w:r w:rsidR="00F03679">
        <w:lastRenderedPageBreak/>
        <w:t>shirt have zero effect on attendance.</w:t>
      </w:r>
      <w:r w:rsidR="005803FC">
        <w:t xml:space="preserve"> </w:t>
      </w:r>
      <w:r w:rsidR="00325E21">
        <w:t>The significance of weekend games is not surprising as people have free times for those games, so it makes sense that the weekend games are more attended than games on weekdays. Interpreting the estimated coefficient for weekend says that a game of the weekend will be attended by 7,856.3 more people than a weekday game holding all else constant. A shirt giveaway will result in 6,101.2 more tickets sold than a game without a shirt giveaway holding all else constant. A bobblehead giveaway will increase attendance by 3,453.5 more tickets than a game without a bobblehead giveaway holding all else constant. This would suggest that giveaways with shirts may be the most beneficial giveaway for increasing attendance. But removing the gametimes may have some effect so it’s worth testing a model with just the giveaways.</w:t>
      </w:r>
    </w:p>
    <w:p w14:paraId="498040F6" w14:textId="77777777" w:rsidR="00325E21" w:rsidRDefault="00325E21" w:rsidP="00325E21">
      <w:pPr>
        <w:keepNext/>
      </w:pPr>
      <w:r w:rsidRPr="00325E21">
        <w:rPr>
          <w:noProof/>
        </w:rPr>
        <w:drawing>
          <wp:inline distT="0" distB="0" distL="0" distR="0" wp14:anchorId="03FA85FB" wp14:editId="3CF2990B">
            <wp:extent cx="5207000" cy="1841500"/>
            <wp:effectExtent l="0" t="0" r="0" b="0"/>
            <wp:docPr id="27613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36635" name=""/>
                    <pic:cNvPicPr/>
                  </pic:nvPicPr>
                  <pic:blipFill>
                    <a:blip r:embed="rId10"/>
                    <a:stretch>
                      <a:fillRect/>
                    </a:stretch>
                  </pic:blipFill>
                  <pic:spPr>
                    <a:xfrm>
                      <a:off x="0" y="0"/>
                      <a:ext cx="5207000" cy="1841500"/>
                    </a:xfrm>
                    <a:prstGeom prst="rect">
                      <a:avLst/>
                    </a:prstGeom>
                  </pic:spPr>
                </pic:pic>
              </a:graphicData>
            </a:graphic>
          </wp:inline>
        </w:drawing>
      </w:r>
    </w:p>
    <w:p w14:paraId="797FF617" w14:textId="18626808" w:rsidR="00325E21" w:rsidRDefault="00325E21" w:rsidP="00325E21">
      <w:pPr>
        <w:pStyle w:val="Caption"/>
        <w:jc w:val="center"/>
        <w:rPr>
          <w:sz w:val="20"/>
          <w:szCs w:val="20"/>
        </w:rPr>
      </w:pPr>
      <w:r w:rsidRPr="00325E21">
        <w:rPr>
          <w:sz w:val="20"/>
          <w:szCs w:val="20"/>
        </w:rPr>
        <w:t xml:space="preserve">Table </w:t>
      </w:r>
      <w:r w:rsidRPr="00325E21">
        <w:rPr>
          <w:sz w:val="20"/>
          <w:szCs w:val="20"/>
        </w:rPr>
        <w:fldChar w:fldCharType="begin"/>
      </w:r>
      <w:r w:rsidRPr="00325E21">
        <w:rPr>
          <w:sz w:val="20"/>
          <w:szCs w:val="20"/>
        </w:rPr>
        <w:instrText xml:space="preserve"> SEQ Table \* ARABIC </w:instrText>
      </w:r>
      <w:r w:rsidRPr="00325E21">
        <w:rPr>
          <w:sz w:val="20"/>
          <w:szCs w:val="20"/>
        </w:rPr>
        <w:fldChar w:fldCharType="separate"/>
      </w:r>
      <w:r w:rsidR="0079425E">
        <w:rPr>
          <w:noProof/>
          <w:sz w:val="20"/>
          <w:szCs w:val="20"/>
        </w:rPr>
        <w:t>2</w:t>
      </w:r>
      <w:r w:rsidRPr="00325E21">
        <w:rPr>
          <w:sz w:val="20"/>
          <w:szCs w:val="20"/>
        </w:rPr>
        <w:fldChar w:fldCharType="end"/>
      </w:r>
    </w:p>
    <w:p w14:paraId="13703C8A" w14:textId="569A826A" w:rsidR="00325E21" w:rsidRDefault="00325E21" w:rsidP="00325E21">
      <w:r>
        <w:t xml:space="preserve">This promotions model includes the previously listed categories of promotions including the kids promotions like running the bases and ice cream Sundays. </w:t>
      </w:r>
      <w:r w:rsidR="0079425E">
        <w:t xml:space="preserve">This model has an r squared valued of </w:t>
      </w:r>
      <w:r w:rsidR="0079425E" w:rsidRPr="0079425E">
        <w:t>.09148</w:t>
      </w:r>
      <w:r w:rsidR="0079425E">
        <w:t xml:space="preserve"> showing less explanatory power than the previous model. Showing the value of the schedule variables. </w:t>
      </w:r>
      <w:r>
        <w:t xml:space="preserve">Looking at the values in table 2 the bobblehead now has the strongest impact on attendance increasing attendance by 6,039 tickets compared to a game without a bobblehead holding all else constant. Compared to 5,692.5 for shirt or 4,418.8 for the kids promotions compared to games without those giveaways holding all else constant. When looking </w:t>
      </w:r>
      <w:r>
        <w:lastRenderedPageBreak/>
        <w:t>at the promotions by themselves the impact has changed and there likely is a reason for that. The relationship of the bobblehead variable with weekend.</w:t>
      </w:r>
    </w:p>
    <w:p w14:paraId="2ABB24E1" w14:textId="77777777" w:rsidR="00325E21" w:rsidRDefault="00325E21" w:rsidP="00325E21">
      <w:pPr>
        <w:keepNext/>
        <w:jc w:val="center"/>
      </w:pPr>
      <w:r w:rsidRPr="00325E21">
        <w:rPr>
          <w:noProof/>
        </w:rPr>
        <w:drawing>
          <wp:inline distT="0" distB="0" distL="0" distR="0" wp14:anchorId="69078E99" wp14:editId="61F67792">
            <wp:extent cx="2692400" cy="622300"/>
            <wp:effectExtent l="0" t="0" r="0" b="0"/>
            <wp:docPr id="126035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5094" name=""/>
                    <pic:cNvPicPr/>
                  </pic:nvPicPr>
                  <pic:blipFill>
                    <a:blip r:embed="rId11"/>
                    <a:stretch>
                      <a:fillRect/>
                    </a:stretch>
                  </pic:blipFill>
                  <pic:spPr>
                    <a:xfrm>
                      <a:off x="0" y="0"/>
                      <a:ext cx="2692400" cy="622300"/>
                    </a:xfrm>
                    <a:prstGeom prst="rect">
                      <a:avLst/>
                    </a:prstGeom>
                  </pic:spPr>
                </pic:pic>
              </a:graphicData>
            </a:graphic>
          </wp:inline>
        </w:drawing>
      </w:r>
    </w:p>
    <w:p w14:paraId="0ECAA338" w14:textId="623A2506" w:rsidR="00325E21" w:rsidRDefault="00325E21" w:rsidP="00325E21">
      <w:pPr>
        <w:pStyle w:val="Caption"/>
        <w:jc w:val="center"/>
        <w:rPr>
          <w:sz w:val="20"/>
          <w:szCs w:val="20"/>
        </w:rPr>
      </w:pPr>
      <w:r w:rsidRPr="00325E21">
        <w:rPr>
          <w:sz w:val="20"/>
          <w:szCs w:val="20"/>
        </w:rPr>
        <w:t xml:space="preserve">Table </w:t>
      </w:r>
      <w:r w:rsidRPr="00325E21">
        <w:rPr>
          <w:sz w:val="20"/>
          <w:szCs w:val="20"/>
        </w:rPr>
        <w:fldChar w:fldCharType="begin"/>
      </w:r>
      <w:r w:rsidRPr="00325E21">
        <w:rPr>
          <w:sz w:val="20"/>
          <w:szCs w:val="20"/>
        </w:rPr>
        <w:instrText xml:space="preserve"> SEQ Table \* ARABIC </w:instrText>
      </w:r>
      <w:r w:rsidRPr="00325E21">
        <w:rPr>
          <w:sz w:val="20"/>
          <w:szCs w:val="20"/>
        </w:rPr>
        <w:fldChar w:fldCharType="separate"/>
      </w:r>
      <w:r w:rsidR="0079425E">
        <w:rPr>
          <w:noProof/>
          <w:sz w:val="20"/>
          <w:szCs w:val="20"/>
        </w:rPr>
        <w:t>3</w:t>
      </w:r>
      <w:r w:rsidRPr="00325E21">
        <w:rPr>
          <w:sz w:val="20"/>
          <w:szCs w:val="20"/>
        </w:rPr>
        <w:fldChar w:fldCharType="end"/>
      </w:r>
    </w:p>
    <w:p w14:paraId="3E7595DF" w14:textId="77777777" w:rsidR="006525F9" w:rsidRDefault="006525F9" w:rsidP="006525F9">
      <w:pPr>
        <w:keepNext/>
        <w:ind w:firstLine="0"/>
        <w:jc w:val="center"/>
      </w:pPr>
      <w:r>
        <w:rPr>
          <w:noProof/>
        </w:rPr>
        <w:drawing>
          <wp:inline distT="0" distB="0" distL="0" distR="0" wp14:anchorId="367D33E3" wp14:editId="5F95C995">
            <wp:extent cx="5943600" cy="3004185"/>
            <wp:effectExtent l="0" t="0" r="0" b="5715"/>
            <wp:docPr id="1704977272" name="Picture 2"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77272" name="Picture 2" descr="A graph with different colored square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3004185"/>
                    </a:xfrm>
                    <a:prstGeom prst="rect">
                      <a:avLst/>
                    </a:prstGeom>
                  </pic:spPr>
                </pic:pic>
              </a:graphicData>
            </a:graphic>
          </wp:inline>
        </w:drawing>
      </w:r>
    </w:p>
    <w:p w14:paraId="500CABB4" w14:textId="1A5DE90E" w:rsidR="006525F9" w:rsidRPr="006525F9" w:rsidRDefault="006525F9" w:rsidP="006525F9">
      <w:pPr>
        <w:pStyle w:val="Caption"/>
        <w:jc w:val="center"/>
        <w:rPr>
          <w:sz w:val="20"/>
          <w:szCs w:val="20"/>
        </w:rPr>
      </w:pPr>
      <w:r w:rsidRPr="006525F9">
        <w:rPr>
          <w:sz w:val="20"/>
          <w:szCs w:val="20"/>
        </w:rPr>
        <w:t xml:space="preserve">Figure </w:t>
      </w:r>
      <w:r w:rsidRPr="006525F9">
        <w:rPr>
          <w:sz w:val="20"/>
          <w:szCs w:val="20"/>
        </w:rPr>
        <w:fldChar w:fldCharType="begin"/>
      </w:r>
      <w:r w:rsidRPr="006525F9">
        <w:rPr>
          <w:sz w:val="20"/>
          <w:szCs w:val="20"/>
        </w:rPr>
        <w:instrText xml:space="preserve"> SEQ Figure \* ARABIC </w:instrText>
      </w:r>
      <w:r w:rsidRPr="006525F9">
        <w:rPr>
          <w:sz w:val="20"/>
          <w:szCs w:val="20"/>
        </w:rPr>
        <w:fldChar w:fldCharType="separate"/>
      </w:r>
      <w:r w:rsidRPr="006525F9">
        <w:rPr>
          <w:noProof/>
          <w:sz w:val="20"/>
          <w:szCs w:val="20"/>
        </w:rPr>
        <w:t>1</w:t>
      </w:r>
      <w:r w:rsidRPr="006525F9">
        <w:rPr>
          <w:sz w:val="20"/>
          <w:szCs w:val="20"/>
        </w:rPr>
        <w:fldChar w:fldCharType="end"/>
      </w:r>
    </w:p>
    <w:p w14:paraId="1416AB4A" w14:textId="78883674" w:rsidR="00325E21" w:rsidRDefault="00325E21" w:rsidP="00325E21">
      <w:pPr>
        <w:ind w:firstLine="0"/>
      </w:pPr>
      <w:r>
        <w:tab/>
        <w:t xml:space="preserve">Looking at the values in Table 3, 39 of the 40 bobblehead giveaways happened on games designated as weekend games, meaning Friday night, Saturday or Sunday. This means bobblehead is almost perfectly collinear with weekend so when the weekend variable is removed the predictive power of the bobblehead variable increased. This is compared to the shirt distribution that is </w:t>
      </w:r>
      <w:r w:rsidR="00847FDB">
        <w:t xml:space="preserve">a more even </w:t>
      </w:r>
      <w:r>
        <w:t xml:space="preserve">12 weekday giveaways and 18 weekend. </w:t>
      </w:r>
      <w:r w:rsidR="00D30448">
        <w:t>W</w:t>
      </w:r>
      <w:r>
        <w:t>hen looking at the values of the different giveaways the bobblehead does result in the largest increase in attendance but that may also have to do with bobblehead giveaways happening almost exclusively on weekends wh</w:t>
      </w:r>
      <w:r w:rsidR="00D30448">
        <w:t>ich</w:t>
      </w:r>
      <w:r>
        <w:t xml:space="preserve"> more people go to already. The two giveaways that show statistically significant relationships that affect attendance are the bobblehead and shirt categories. Along with the </w:t>
      </w:r>
      <w:r>
        <w:lastRenderedPageBreak/>
        <w:t>Sunday family promotions of ice cream and run the bases</w:t>
      </w:r>
      <w:r w:rsidR="00D30448">
        <w:t xml:space="preserve"> but that conclusion is impacted by the day the giveaways happen</w:t>
      </w:r>
      <w:r>
        <w:t>.</w:t>
      </w:r>
    </w:p>
    <w:p w14:paraId="508010DF" w14:textId="1CE92295" w:rsidR="00325E21" w:rsidRPr="00325E21" w:rsidRDefault="00325E21" w:rsidP="00325E21">
      <w:pPr>
        <w:ind w:firstLine="0"/>
      </w:pPr>
      <w:r>
        <w:tab/>
        <w:t xml:space="preserve">Attendance Model 1 </w:t>
      </w:r>
      <w:r w:rsidR="00D30448">
        <w:t xml:space="preserve">is </w:t>
      </w:r>
      <w:r>
        <w:t xml:space="preserve">the impact </w:t>
      </w:r>
      <w:r w:rsidR="00D30448">
        <w:t xml:space="preserve">weekend vs weekday </w:t>
      </w:r>
      <w:r>
        <w:t xml:space="preserve">has on attendance. But there may be statistically significant differences between the days within those categories as well. </w:t>
      </w:r>
    </w:p>
    <w:p w14:paraId="330CBF39" w14:textId="77777777" w:rsidR="00325E21" w:rsidRDefault="00325E21" w:rsidP="00325E21">
      <w:pPr>
        <w:keepNext/>
        <w:ind w:firstLine="0"/>
      </w:pPr>
      <w:r w:rsidRPr="00325E21">
        <w:rPr>
          <w:noProof/>
        </w:rPr>
        <w:drawing>
          <wp:inline distT="0" distB="0" distL="0" distR="0" wp14:anchorId="3DEF897E" wp14:editId="3900A242">
            <wp:extent cx="5943600" cy="2836545"/>
            <wp:effectExtent l="0" t="0" r="0" b="0"/>
            <wp:docPr id="1921258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58804" name=""/>
                    <pic:cNvPicPr/>
                  </pic:nvPicPr>
                  <pic:blipFill>
                    <a:blip r:embed="rId13"/>
                    <a:stretch>
                      <a:fillRect/>
                    </a:stretch>
                  </pic:blipFill>
                  <pic:spPr>
                    <a:xfrm>
                      <a:off x="0" y="0"/>
                      <a:ext cx="5943600" cy="2836545"/>
                    </a:xfrm>
                    <a:prstGeom prst="rect">
                      <a:avLst/>
                    </a:prstGeom>
                  </pic:spPr>
                </pic:pic>
              </a:graphicData>
            </a:graphic>
          </wp:inline>
        </w:drawing>
      </w:r>
    </w:p>
    <w:p w14:paraId="48CEFE83" w14:textId="236D4489" w:rsidR="00325E21" w:rsidRDefault="00325E21" w:rsidP="00325E21">
      <w:pPr>
        <w:pStyle w:val="Caption"/>
        <w:jc w:val="center"/>
        <w:rPr>
          <w:sz w:val="20"/>
          <w:szCs w:val="20"/>
        </w:rPr>
      </w:pPr>
      <w:r w:rsidRPr="00325E21">
        <w:rPr>
          <w:sz w:val="20"/>
          <w:szCs w:val="20"/>
        </w:rPr>
        <w:t xml:space="preserve">Table </w:t>
      </w:r>
      <w:r w:rsidRPr="00325E21">
        <w:rPr>
          <w:sz w:val="20"/>
          <w:szCs w:val="20"/>
        </w:rPr>
        <w:fldChar w:fldCharType="begin"/>
      </w:r>
      <w:r w:rsidRPr="00325E21">
        <w:rPr>
          <w:sz w:val="20"/>
          <w:szCs w:val="20"/>
        </w:rPr>
        <w:instrText xml:space="preserve"> SEQ Table \* ARABIC </w:instrText>
      </w:r>
      <w:r w:rsidRPr="00325E21">
        <w:rPr>
          <w:sz w:val="20"/>
          <w:szCs w:val="20"/>
        </w:rPr>
        <w:fldChar w:fldCharType="separate"/>
      </w:r>
      <w:r w:rsidR="0079425E">
        <w:rPr>
          <w:noProof/>
          <w:sz w:val="20"/>
          <w:szCs w:val="20"/>
        </w:rPr>
        <w:t>4</w:t>
      </w:r>
      <w:r w:rsidRPr="00325E21">
        <w:rPr>
          <w:sz w:val="20"/>
          <w:szCs w:val="20"/>
        </w:rPr>
        <w:fldChar w:fldCharType="end"/>
      </w:r>
    </w:p>
    <w:p w14:paraId="2CB23271" w14:textId="0E6D0562" w:rsidR="00325E21" w:rsidRDefault="0079425E" w:rsidP="00325E21">
      <w:r>
        <w:t xml:space="preserve">Attendance model 2 produced an r squared value of </w:t>
      </w:r>
      <w:r w:rsidRPr="0079425E">
        <w:t>0.207</w:t>
      </w:r>
      <w:r>
        <w:t xml:space="preserve"> explaining 20.7% of the variance in attendance and showing improvement from attendance model 1. </w:t>
      </w:r>
      <w:r w:rsidR="00325E21">
        <w:t>Adding the days of the week to the attendance model in place of the weekend variable produced the output above in Table 4. Using a factor of the day of the week allows for the comparison of categorical values like days of the week. Because regression requires numerical inputs, R converts the categories (Monday through Sunday) into a set of variables. One category is selected as a reference group (in this case</w:t>
      </w:r>
      <w:r w:rsidR="00D30448">
        <w:t xml:space="preserve"> </w:t>
      </w:r>
      <w:r w:rsidR="00325E21">
        <w:t xml:space="preserve">Friday), and the coefficients for the remaining days represent the difference in average attendance relative to that reference day, holding all other variables constant. Looking at the table of results, two of the days had a statistically meaningful difference. Tuesday and Wednesday have statistically lower attendance values than Friday. Tuesday has 6,960.62 less </w:t>
      </w:r>
      <w:r w:rsidR="00325E21">
        <w:lastRenderedPageBreak/>
        <w:t xml:space="preserve">people than a game on Friday holding all else constant which is significant at the 5% level. Wednesday has an even larger negative coefficient that is significant at the .1% level, observing 14,272.5 less people than a Friday game holding all else constant. </w:t>
      </w:r>
      <w:bookmarkStart w:id="1" w:name="_Toc409783207"/>
      <w:r w:rsidR="00325E21">
        <w:t xml:space="preserve">Monday and Thursday had p values close to .12 which implies that they are approaching significance so with another season of data could become statistically different from the attendance in the Friday comparison. This suggests that midweek games, particularly Tuesday and Wednesday, tend to draw significantly lower attendance compared to Friday games across the sample period. </w:t>
      </w:r>
    </w:p>
    <w:p w14:paraId="352D7AAB" w14:textId="77777777" w:rsidR="00325E21" w:rsidRDefault="00325E21" w:rsidP="00325E21">
      <w:pPr>
        <w:keepNext/>
      </w:pPr>
      <w:r w:rsidRPr="00325E21">
        <w:rPr>
          <w:noProof/>
        </w:rPr>
        <w:lastRenderedPageBreak/>
        <w:drawing>
          <wp:inline distT="0" distB="0" distL="0" distR="0" wp14:anchorId="104AF173" wp14:editId="4E5DDCF2">
            <wp:extent cx="4836160" cy="6138720"/>
            <wp:effectExtent l="0" t="0" r="2540" b="0"/>
            <wp:docPr id="1603096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96948" name=""/>
                    <pic:cNvPicPr/>
                  </pic:nvPicPr>
                  <pic:blipFill>
                    <a:blip r:embed="rId14"/>
                    <a:stretch>
                      <a:fillRect/>
                    </a:stretch>
                  </pic:blipFill>
                  <pic:spPr>
                    <a:xfrm>
                      <a:off x="0" y="0"/>
                      <a:ext cx="4863835" cy="6173849"/>
                    </a:xfrm>
                    <a:prstGeom prst="rect">
                      <a:avLst/>
                    </a:prstGeom>
                  </pic:spPr>
                </pic:pic>
              </a:graphicData>
            </a:graphic>
          </wp:inline>
        </w:drawing>
      </w:r>
    </w:p>
    <w:p w14:paraId="1C9E81E1" w14:textId="7B825F0E" w:rsidR="00325E21" w:rsidRPr="00325E21" w:rsidRDefault="00325E21" w:rsidP="00325E21">
      <w:pPr>
        <w:pStyle w:val="Caption"/>
        <w:jc w:val="center"/>
        <w:rPr>
          <w:sz w:val="20"/>
          <w:szCs w:val="20"/>
        </w:rPr>
      </w:pPr>
      <w:r w:rsidRPr="00325E21">
        <w:rPr>
          <w:sz w:val="20"/>
          <w:szCs w:val="20"/>
        </w:rPr>
        <w:t xml:space="preserve">Table </w:t>
      </w:r>
      <w:r w:rsidRPr="00325E21">
        <w:rPr>
          <w:sz w:val="20"/>
          <w:szCs w:val="20"/>
        </w:rPr>
        <w:fldChar w:fldCharType="begin"/>
      </w:r>
      <w:r w:rsidRPr="00325E21">
        <w:rPr>
          <w:sz w:val="20"/>
          <w:szCs w:val="20"/>
        </w:rPr>
        <w:instrText xml:space="preserve"> SEQ Table \* ARABIC </w:instrText>
      </w:r>
      <w:r w:rsidRPr="00325E21">
        <w:rPr>
          <w:sz w:val="20"/>
          <w:szCs w:val="20"/>
        </w:rPr>
        <w:fldChar w:fldCharType="separate"/>
      </w:r>
      <w:r w:rsidR="0079425E">
        <w:rPr>
          <w:noProof/>
          <w:sz w:val="20"/>
          <w:szCs w:val="20"/>
        </w:rPr>
        <w:t>5</w:t>
      </w:r>
      <w:r w:rsidRPr="00325E21">
        <w:rPr>
          <w:sz w:val="20"/>
          <w:szCs w:val="20"/>
        </w:rPr>
        <w:fldChar w:fldCharType="end"/>
      </w:r>
    </w:p>
    <w:p w14:paraId="40E81AB2" w14:textId="5ACF846A" w:rsidR="00325E21" w:rsidRDefault="0079425E" w:rsidP="00325E21">
      <w:r>
        <w:t xml:space="preserve">The model including individual opponents produced an r squared value of </w:t>
      </w:r>
      <w:r w:rsidRPr="0079425E">
        <w:t>0.314</w:t>
      </w:r>
      <w:r>
        <w:t xml:space="preserve"> accounting for 31.4% of the variance which is the best of the models so far but is likely too complicated to be useful as reflected by the .</w:t>
      </w:r>
      <w:r w:rsidRPr="0079425E">
        <w:t>1667</w:t>
      </w:r>
      <w:r>
        <w:t xml:space="preserve"> adjusted r squared. </w:t>
      </w:r>
      <w:r w:rsidR="00325E21">
        <w:t xml:space="preserve">Most </w:t>
      </w:r>
      <w:r>
        <w:t xml:space="preserve">of the </w:t>
      </w:r>
      <w:r w:rsidR="00325E21">
        <w:t>opponents do not show statistically significant differences in attendance relative to the reference team the Diamondbacks</w:t>
      </w:r>
      <w:r>
        <w:t xml:space="preserve"> (alphabetically first)</w:t>
      </w:r>
      <w:r w:rsidR="00325E21">
        <w:t xml:space="preserve">. The one team that is statistically significant, games against </w:t>
      </w:r>
      <w:r w:rsidR="00325E21">
        <w:lastRenderedPageBreak/>
        <w:t xml:space="preserve">Colorado are associated with significantly lower attendance, having 9,455.5 less tickets than games against the Diamondbacks holding all else constant. Overall, individual opponent effects appear weaker and less consistent than day of the week and promotional effects, suggesting that matchup differences play a secondary role in driving ticket sales. </w:t>
      </w:r>
    </w:p>
    <w:p w14:paraId="3598BAB8" w14:textId="780B727D" w:rsidR="0079425E" w:rsidRDefault="0079425E" w:rsidP="00325E21">
      <w:r>
        <w:t>Some games may be more attractive to viewers like rivalry games amongst division foes. To limit the number of variables used in the individual opponent model the opponent can be reflected in a rival variable which is true for opponents in the NL Central, the Cubs, Brewers, Reds and Pirates. This may provide a way to group larger numbers of observations together that may create a statistically significant way to classify games for attendance prediction.</w:t>
      </w:r>
    </w:p>
    <w:p w14:paraId="3847BF30" w14:textId="77777777" w:rsidR="0079425E" w:rsidRDefault="0079425E" w:rsidP="0079425E">
      <w:pPr>
        <w:keepNext/>
        <w:ind w:firstLine="0"/>
        <w:jc w:val="center"/>
      </w:pPr>
      <w:r w:rsidRPr="0079425E">
        <w:rPr>
          <w:noProof/>
        </w:rPr>
        <w:drawing>
          <wp:inline distT="0" distB="0" distL="0" distR="0" wp14:anchorId="79DD8260" wp14:editId="7822F842">
            <wp:extent cx="5943600" cy="2983230"/>
            <wp:effectExtent l="0" t="0" r="0" b="1270"/>
            <wp:docPr id="14974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38455" name=""/>
                    <pic:cNvPicPr/>
                  </pic:nvPicPr>
                  <pic:blipFill>
                    <a:blip r:embed="rId15"/>
                    <a:stretch>
                      <a:fillRect/>
                    </a:stretch>
                  </pic:blipFill>
                  <pic:spPr>
                    <a:xfrm>
                      <a:off x="0" y="0"/>
                      <a:ext cx="5943600" cy="2983230"/>
                    </a:xfrm>
                    <a:prstGeom prst="rect">
                      <a:avLst/>
                    </a:prstGeom>
                  </pic:spPr>
                </pic:pic>
              </a:graphicData>
            </a:graphic>
          </wp:inline>
        </w:drawing>
      </w:r>
    </w:p>
    <w:p w14:paraId="6C4658C8" w14:textId="3E3EAE9F" w:rsidR="0079425E" w:rsidRDefault="0079425E" w:rsidP="0079425E">
      <w:pPr>
        <w:pStyle w:val="Caption"/>
        <w:jc w:val="center"/>
        <w:rPr>
          <w:sz w:val="20"/>
          <w:szCs w:val="20"/>
        </w:rPr>
      </w:pPr>
      <w:r w:rsidRPr="0079425E">
        <w:rPr>
          <w:sz w:val="20"/>
          <w:szCs w:val="20"/>
        </w:rPr>
        <w:t xml:space="preserve">Table </w:t>
      </w:r>
      <w:r w:rsidRPr="0079425E">
        <w:rPr>
          <w:sz w:val="20"/>
          <w:szCs w:val="20"/>
        </w:rPr>
        <w:fldChar w:fldCharType="begin"/>
      </w:r>
      <w:r w:rsidRPr="0079425E">
        <w:rPr>
          <w:sz w:val="20"/>
          <w:szCs w:val="20"/>
        </w:rPr>
        <w:instrText xml:space="preserve"> SEQ Table \* ARABIC </w:instrText>
      </w:r>
      <w:r w:rsidRPr="0079425E">
        <w:rPr>
          <w:sz w:val="20"/>
          <w:szCs w:val="20"/>
        </w:rPr>
        <w:fldChar w:fldCharType="separate"/>
      </w:r>
      <w:r w:rsidRPr="0079425E">
        <w:rPr>
          <w:noProof/>
          <w:sz w:val="20"/>
          <w:szCs w:val="20"/>
        </w:rPr>
        <w:t>6</w:t>
      </w:r>
      <w:r w:rsidRPr="0079425E">
        <w:rPr>
          <w:sz w:val="20"/>
          <w:szCs w:val="20"/>
        </w:rPr>
        <w:fldChar w:fldCharType="end"/>
      </w:r>
    </w:p>
    <w:p w14:paraId="7464E306" w14:textId="3E7A4043" w:rsidR="0079425E" w:rsidRPr="0079425E" w:rsidRDefault="0079425E" w:rsidP="0079425E">
      <w:r>
        <w:t>Categorizing the opponent as division or not did not produce a</w:t>
      </w:r>
      <w:r w:rsidR="00D30448">
        <w:t>n opponent</w:t>
      </w:r>
      <w:r>
        <w:t xml:space="preserve"> variable with a statistically significant prediction power for attendance. The model has an r squared value of .2072 and adjusted r squared of .1562 which is slightly better than attendance model 2 without an opponent variable and worse than the model with individual opponents.  </w:t>
      </w:r>
    </w:p>
    <w:p w14:paraId="7FEB5BBA" w14:textId="5EBC6D82" w:rsidR="00325E21" w:rsidRDefault="00325E21" w:rsidP="00325E21">
      <w:r>
        <w:lastRenderedPageBreak/>
        <w:t>Across all variables considered, scheduling, particularly day of the week, emerges as one of the strongest predictors of attendance. Promotions show mixed effects, with certain categories such as shirt giveaways and some family</w:t>
      </w:r>
      <w:r w:rsidR="0079425E">
        <w:t xml:space="preserve"> </w:t>
      </w:r>
      <w:r>
        <w:t>promotions exhibiting statistically significant positive relationships with attendance, while others like bobbleheads are not consistently significant once scheduling effects are included. In contrast, opponent identity tends to have fewer statistically significant effects and smaller overall influence compared to scheduling and promotional variables.</w:t>
      </w:r>
    </w:p>
    <w:p w14:paraId="1F6B37DF" w14:textId="025D6B8E" w:rsidR="00325E21" w:rsidRDefault="00325E21" w:rsidP="00325E21">
      <w:r>
        <w:t xml:space="preserve">Looking at potential dynamic pricing applications for Cardinals tickets there are findings from the previous models that can be relevant in dynamic pricing strategy. Since the day of the week was a statistically significant factor in models predicting attendance there is reason to believe that the starting ticket prices should not be the same across days of the week. There is </w:t>
      </w:r>
      <w:r w:rsidR="00D30448">
        <w:t>data</w:t>
      </w:r>
      <w:r>
        <w:t xml:space="preserve"> to implement a pricing model that has at least three tiers of starting prices due to the differences in attendance observed from the day of the week. There was a statistically significant relationship observed with the weekend variable that would support a higher starting price for the weekend games than the weekday games. The observable relationship where Tuesday and Wednesday had observed less attendance as compared to the other days of the week supports a weekday price for Monday and Thursday then a further discounted midweek price for Tuesday and Wednesday. The Monday and Thursday P Values were approaching significance at the 10% level so further data collection might support a </w:t>
      </w:r>
      <w:r w:rsidR="0079425E">
        <w:t>two-level</w:t>
      </w:r>
      <w:r>
        <w:t xml:space="preserve"> pricing model between weekday and weekend.</w:t>
      </w:r>
    </w:p>
    <w:p w14:paraId="07868824" w14:textId="4C9964ED" w:rsidR="00D30448" w:rsidRDefault="0079425E" w:rsidP="00D30448">
      <w:r>
        <w:t xml:space="preserve">As for implementation of a dynamic pricing strategy I would suggest using an </w:t>
      </w:r>
      <w:r w:rsidR="00325E21">
        <w:t>optimal myopic dynamic pricing strategy</w:t>
      </w:r>
      <w:r>
        <w:t xml:space="preserve">. This is where prices are determined each day to maximize the potential revenue. This strategy usually utilizes a price floor where the dynamic price cannot </w:t>
      </w:r>
      <w:r>
        <w:lastRenderedPageBreak/>
        <w:t xml:space="preserve">move below the starting price. This may limit the number of tickets sold in cases where the starting prices were set too high but prevents punishing or alienating fans who bought early or bought season tickets. </w:t>
      </w:r>
      <w:r w:rsidRPr="0079425E">
        <w:t xml:space="preserve">A price ceiling </w:t>
      </w:r>
      <w:r w:rsidR="00A029C2">
        <w:t xml:space="preserve">of double starting price </w:t>
      </w:r>
      <w:r w:rsidRPr="0079425E">
        <w:t xml:space="preserve">may also be beneficial to limit extreme increases in ticket prices during periods of unusually high demand. </w:t>
      </w:r>
      <w:r>
        <w:t>R</w:t>
      </w:r>
      <w:r w:rsidRPr="0079425E">
        <w:t>aising prices can increase short</w:t>
      </w:r>
      <w:r>
        <w:t xml:space="preserve"> </w:t>
      </w:r>
      <w:r w:rsidRPr="0079425E">
        <w:t>term revenue</w:t>
      </w:r>
      <w:r>
        <w:t xml:space="preserve"> but </w:t>
      </w:r>
      <w:r w:rsidRPr="0079425E">
        <w:t xml:space="preserve">excessively high prices may negatively affect fan perception, future purchasing </w:t>
      </w:r>
      <w:r>
        <w:t>decisions or</w:t>
      </w:r>
      <w:r w:rsidRPr="0079425E">
        <w:t xml:space="preserve"> overall accessibility. Implementing a ceiling allows the organization to capture additional revenue </w:t>
      </w:r>
      <w:r>
        <w:t xml:space="preserve">for high demand tickets </w:t>
      </w:r>
      <w:r w:rsidRPr="0079425E">
        <w:t xml:space="preserve">while </w:t>
      </w:r>
      <w:r w:rsidR="00D30448">
        <w:t>balancing</w:t>
      </w:r>
      <w:r w:rsidRPr="0079425E">
        <w:t xml:space="preserve"> profitability and </w:t>
      </w:r>
      <w:proofErr w:type="gramStart"/>
      <w:r w:rsidRPr="0079425E">
        <w:t>long</w:t>
      </w:r>
      <w:r w:rsidR="00D30448">
        <w:t xml:space="preserve"> </w:t>
      </w:r>
      <w:r w:rsidRPr="0079425E">
        <w:t>term</w:t>
      </w:r>
      <w:proofErr w:type="gramEnd"/>
      <w:r w:rsidRPr="0079425E">
        <w:t xml:space="preserve"> fan engagement.</w:t>
      </w:r>
      <w:r>
        <w:t xml:space="preserve"> Dynamic pricing also should not be used uniformly across the stadium. Instead, pricing adjustments should vary by seating section and demand. Dynamic pricing should be utilized so that tickets may rise in one part of the stadium while possibly falling in another to maximize ticket sales and revenue.</w:t>
      </w:r>
      <w:r w:rsidR="00D30448">
        <w:t xml:space="preserve"> </w:t>
      </w:r>
    </w:p>
    <w:p w14:paraId="02BFE5D3" w14:textId="5962597D" w:rsidR="0079425E" w:rsidRDefault="0079425E" w:rsidP="00D30448">
      <w:r>
        <w:t xml:space="preserve">Based on the findings of the attendance models, the Cardinals should adopt a </w:t>
      </w:r>
      <w:r w:rsidR="00D30448">
        <w:t>three-tiered</w:t>
      </w:r>
      <w:r>
        <w:t xml:space="preserve"> dynamic pricing </w:t>
      </w:r>
      <w:r w:rsidR="00D30448">
        <w:t xml:space="preserve">system based on midweek, weekday or weekend games. </w:t>
      </w:r>
      <w:r>
        <w:t xml:space="preserve">Due to the lack of significance for individual matchups and inconsistent significance of promotions, promotional games and matchups with high demand can then be adjusted dynamically within those pricing tiers depending on remaining inventory and real-time demand. In addition, pricing </w:t>
      </w:r>
      <w:r w:rsidR="00D30448">
        <w:t xml:space="preserve">movements </w:t>
      </w:r>
      <w:r>
        <w:t xml:space="preserve">should vary across seating sections </w:t>
      </w:r>
      <w:r w:rsidR="00D30448">
        <w:t>since starting prices could be high in one section or low in another.</w:t>
      </w:r>
    </w:p>
    <w:p w14:paraId="31EB8F8B" w14:textId="23C7552B" w:rsidR="006700DE" w:rsidRDefault="0079425E" w:rsidP="006700DE">
      <w:r>
        <w:t xml:space="preserve">There are limitations with the current analysis. The first of which is the lack of weather data utilized in the attendance modeling as it was not included in the datasets. The ESPN article listed cold or rainy weather as possible factors that can limit attendance. Variables such as temperature or precipitation may have positive effects on the predictive ability of the model. Additionally, I would like to have opponents into some type of groups that could help predict </w:t>
      </w:r>
      <w:r>
        <w:lastRenderedPageBreak/>
        <w:t xml:space="preserve">attendance beyond division or not. Certain bigger name teams like the Yankees or Dodgers may draw a larger crowd but did not have enough data to be statistically significant. </w:t>
      </w:r>
      <w:r w:rsidR="006700DE">
        <w:t>So,</w:t>
      </w:r>
      <w:r>
        <w:t xml:space="preserve"> finding a way to group teams by matchup quality may have some ability to predict attendance that the individual matchups and division variable did not. Future research could group opponents into broader categories such as division/state rivalry games, playoff contenders, large market teams, or other </w:t>
      </w:r>
      <w:proofErr w:type="gramStart"/>
      <w:r>
        <w:t>high</w:t>
      </w:r>
      <w:r w:rsidR="008B273E">
        <w:t xml:space="preserve"> </w:t>
      </w:r>
      <w:r>
        <w:t>profile</w:t>
      </w:r>
      <w:proofErr w:type="gramEnd"/>
      <w:r>
        <w:t xml:space="preserve"> matchups </w:t>
      </w:r>
      <w:r w:rsidR="00D30448">
        <w:t>to</w:t>
      </w:r>
      <w:r>
        <w:t xml:space="preserve"> better capture differences in consumer demand and improve attendance prediction.</w:t>
      </w:r>
      <w:r w:rsidR="006700DE">
        <w:t xml:space="preserve"> The conclusions are also limited to St. Louis Cardinals regular season games since that is all that was included in the data used for the analysis. To make conclusions for other MLB teams or postseason Games for the Cardinals data would need to be gathered for games for those teams or situations.</w:t>
      </w:r>
    </w:p>
    <w:p w14:paraId="2A4C1819" w14:textId="544CB94E" w:rsidR="0079425E" w:rsidRDefault="0079425E" w:rsidP="0079425E">
      <w:r w:rsidRPr="0079425E">
        <w:t>The next steps for future research would involve collecting additional datasets related to weather</w:t>
      </w:r>
      <w:r>
        <w:t xml:space="preserve"> that included the temperature and precipitation. That dataset could then be joined onto the game level data already collected or replace that data if it is a more complete dataset. Data for opponents could use things like opponent winning percentage, market size/team valuation and indicators of star players that could be used to develop an opponent tier structure. </w:t>
      </w:r>
      <w:r w:rsidRPr="0079425E">
        <w:t>This may better capture matchup quality and fan interest while reducing some of the statistical limitations caused by small sample sizes for individual opponents. After incorporating these additional variables, updated regression models could be developed to test whether weather and improved opponent classifications increase the predictive ability of the attendance models.</w:t>
      </w:r>
    </w:p>
    <w:bookmarkEnd w:id="1" w:displacedByCustomXml="next"/>
    <w:bookmarkStart w:id="2" w:name="_Toc409783210" w:displacedByCustomXml="next"/>
    <w:sdt>
      <w:sdtPr>
        <w:rPr>
          <w:rFonts w:asciiTheme="minorHAnsi" w:eastAsiaTheme="minorEastAsia" w:hAnsiTheme="minorHAnsi" w:cstheme="minorBidi"/>
        </w:rPr>
        <w:id w:val="-573587230"/>
        <w:bibliography/>
      </w:sdtPr>
      <w:sdtEndPr>
        <w:rPr>
          <w:rFonts w:asciiTheme="majorHAnsi" w:eastAsiaTheme="majorEastAsia" w:hAnsiTheme="majorHAnsi" w:cstheme="majorBidi"/>
        </w:rPr>
      </w:sdtEndPr>
      <w:sdtContent>
        <w:p w14:paraId="58DB47DD" w14:textId="14AE7AD4" w:rsidR="00731191" w:rsidRDefault="00000000">
          <w:pPr>
            <w:pStyle w:val="SectionTitle"/>
          </w:pPr>
          <w:r>
            <w:t>References</w:t>
          </w:r>
        </w:p>
        <w:bookmarkEnd w:id="2" w:displacedByCustomXml="next"/>
      </w:sdtContent>
    </w:sdt>
    <w:p w14:paraId="27E588A5" w14:textId="77777777" w:rsidR="00AB0527" w:rsidRDefault="00AB0527" w:rsidP="00AB0527">
      <w:pPr>
        <w:pStyle w:val="TableFigure"/>
        <w:ind w:left="720" w:hanging="720"/>
      </w:pPr>
      <w:proofErr w:type="spellStart"/>
      <w:r>
        <w:t>Allentuck</w:t>
      </w:r>
      <w:proofErr w:type="spellEnd"/>
      <w:r>
        <w:t>, D., &amp; Draper, K. (2019, September 29). Baseball attendance falls a bit more, and the reasons vary. The New York Times. https://www.nytimes.com/2019/09/29/sports/baseball/mlb-attendance.html</w:t>
      </w:r>
    </w:p>
    <w:p w14:paraId="2BB7F2DE" w14:textId="77777777" w:rsidR="00AB0527" w:rsidRDefault="00AB0527" w:rsidP="00AB0527">
      <w:pPr>
        <w:pStyle w:val="TableFigure"/>
        <w:ind w:left="720" w:hanging="720"/>
      </w:pPr>
    </w:p>
    <w:p w14:paraId="4AECE8B8" w14:textId="77777777" w:rsidR="00AB0527" w:rsidRDefault="00AB0527" w:rsidP="00AB0527">
      <w:pPr>
        <w:pStyle w:val="TableFigure"/>
        <w:ind w:left="720" w:hanging="720"/>
      </w:pPr>
      <w:r>
        <w:t>Associated Press. (2018, October 2). MLB attendance drops 4 percent, lowest since 2003. ESPN.com. https://www.espn.com/espn/wire?section=mlb&amp;id=24874152</w:t>
      </w:r>
    </w:p>
    <w:p w14:paraId="7DA8ABEA" w14:textId="77777777" w:rsidR="00AB0527" w:rsidRDefault="00AB0527" w:rsidP="00AB0527">
      <w:pPr>
        <w:pStyle w:val="TableFigure"/>
        <w:ind w:left="720" w:hanging="720"/>
      </w:pPr>
    </w:p>
    <w:p w14:paraId="4AD81E60" w14:textId="77777777" w:rsidR="00AB0527" w:rsidRDefault="00AB0527" w:rsidP="00AB0527">
      <w:pPr>
        <w:pStyle w:val="TableFigure"/>
        <w:ind w:left="720" w:hanging="720"/>
      </w:pPr>
      <w:r>
        <w:t>Foster, J. (2022, January 6). As lockout drags on, poll indicates MLB could be charting path to irrelevance. The Sporting News. https://www.sportingnews.com/us/mlb/news/as-lockout-drags-on-poll-indicates-mlb-could-be-charting-path-to-irrelevance/1qbmfwrcjfdsr16izao285afnw</w:t>
      </w:r>
    </w:p>
    <w:p w14:paraId="60123824" w14:textId="77777777" w:rsidR="00AB0527" w:rsidRDefault="00AB0527" w:rsidP="00AB0527">
      <w:pPr>
        <w:pStyle w:val="TableFigure"/>
        <w:ind w:left="720" w:hanging="720"/>
      </w:pPr>
    </w:p>
    <w:p w14:paraId="3600B32B" w14:textId="77777777" w:rsidR="00AB0527" w:rsidRDefault="00AB0527" w:rsidP="00AB0527">
      <w:pPr>
        <w:pStyle w:val="TableFigure"/>
        <w:ind w:left="720" w:hanging="720"/>
      </w:pPr>
      <w:r>
        <w:t>Major League Baseball. (n.d.-a). Cardinals promotional schedule 2021. MLB.com. https://www.mlb.com/cardinals/tickets/promotions/2021</w:t>
      </w:r>
    </w:p>
    <w:p w14:paraId="53E63649" w14:textId="77777777" w:rsidR="00AB0527" w:rsidRDefault="00AB0527" w:rsidP="00AB0527">
      <w:pPr>
        <w:pStyle w:val="TableFigure"/>
        <w:ind w:left="720" w:hanging="720"/>
      </w:pPr>
    </w:p>
    <w:p w14:paraId="41BD7B2A" w14:textId="77777777" w:rsidR="00AB0527" w:rsidRDefault="00AB0527" w:rsidP="00AB0527">
      <w:pPr>
        <w:pStyle w:val="TableFigure"/>
        <w:ind w:left="720" w:hanging="720"/>
      </w:pPr>
      <w:r>
        <w:t>Major League Baseball. (n.d.-b). Cardinals promotional schedule 2022. MLB.com. https://www.mlb.com/cardinals/tickets/promotions/2022</w:t>
      </w:r>
    </w:p>
    <w:p w14:paraId="1D2AE2A3" w14:textId="77777777" w:rsidR="00AB0527" w:rsidRDefault="00AB0527" w:rsidP="00AB0527">
      <w:pPr>
        <w:pStyle w:val="TableFigure"/>
        <w:ind w:left="720" w:hanging="720"/>
      </w:pPr>
    </w:p>
    <w:p w14:paraId="11453BAB" w14:textId="77777777" w:rsidR="00AB0527" w:rsidRDefault="00AB0527" w:rsidP="00AB0527">
      <w:pPr>
        <w:pStyle w:val="TableFigure"/>
        <w:ind w:left="720" w:hanging="720"/>
      </w:pPr>
      <w:r>
        <w:t>Major League Baseball. (n.d.-c). Cardinals promotional schedule 2023. MLB.com. https://www.mlb.com/cardinals/tickets/promotions/2023</w:t>
      </w:r>
    </w:p>
    <w:p w14:paraId="280EC84B" w14:textId="77777777" w:rsidR="00AB0527" w:rsidRDefault="00AB0527" w:rsidP="00AB0527">
      <w:pPr>
        <w:pStyle w:val="TableFigure"/>
        <w:ind w:left="720" w:hanging="720"/>
      </w:pPr>
    </w:p>
    <w:p w14:paraId="5A26AF6D" w14:textId="77777777" w:rsidR="00AB0527" w:rsidRDefault="00AB0527" w:rsidP="00AB0527">
      <w:pPr>
        <w:pStyle w:val="TableFigure"/>
        <w:ind w:left="720" w:hanging="720"/>
      </w:pPr>
      <w:r>
        <w:lastRenderedPageBreak/>
        <w:t>Major League Baseball. (n.d.-d). Cardinals promotional schedule 2024. MLB.com. https://www.mlb.com/cardinals/tickets/promotions/2024</w:t>
      </w:r>
    </w:p>
    <w:p w14:paraId="1924BBB2" w14:textId="77777777" w:rsidR="00AB0527" w:rsidRDefault="00AB0527" w:rsidP="00AB0527">
      <w:pPr>
        <w:pStyle w:val="TableFigure"/>
        <w:ind w:left="720" w:hanging="720"/>
      </w:pPr>
    </w:p>
    <w:p w14:paraId="31416000" w14:textId="77777777" w:rsidR="00AB0527" w:rsidRDefault="00AB0527" w:rsidP="00AB0527">
      <w:pPr>
        <w:pStyle w:val="TableFigure"/>
        <w:ind w:left="720" w:hanging="720"/>
      </w:pPr>
      <w:r>
        <w:t>Major League Baseball. (n.d.-e). Cardinals promotional schedule 2025. MLB.com. https://www.mlb.com/cardinals/tickets/promotions/2025</w:t>
      </w:r>
    </w:p>
    <w:p w14:paraId="340CACA7" w14:textId="77777777" w:rsidR="00AB0527" w:rsidRDefault="00AB0527" w:rsidP="00AB0527">
      <w:pPr>
        <w:pStyle w:val="TableFigure"/>
        <w:ind w:left="720" w:hanging="720"/>
      </w:pPr>
    </w:p>
    <w:p w14:paraId="65485589" w14:textId="77777777" w:rsidR="00AB0527" w:rsidRDefault="00AB0527" w:rsidP="00AB0527">
      <w:pPr>
        <w:pStyle w:val="TableFigure"/>
        <w:ind w:left="720" w:hanging="720"/>
      </w:pPr>
      <w:r>
        <w:t>Mazzeo, M. (2026, April 27). MLB bullish on attendance rising for fourth consecutive year. Sports Business Journal. https://www.sportsbusinessjournal.com/Articles/2026/04/27/mlb-bullish-on-attendance-rising-for-fourth-consecutive-year/</w:t>
      </w:r>
    </w:p>
    <w:p w14:paraId="230664EE" w14:textId="77777777" w:rsidR="00AB0527" w:rsidRDefault="00AB0527" w:rsidP="00AB0527">
      <w:pPr>
        <w:pStyle w:val="TableFigure"/>
        <w:ind w:left="720" w:hanging="720"/>
      </w:pPr>
    </w:p>
    <w:p w14:paraId="475AB11D" w14:textId="77777777" w:rsidR="00AB0527" w:rsidRDefault="00AB0527" w:rsidP="00AB0527">
      <w:pPr>
        <w:pStyle w:val="TableFigure"/>
        <w:ind w:left="720" w:hanging="720"/>
      </w:pPr>
      <w:r>
        <w:t>Sports Reference LLC. (n.d.-a). 2021 St. Louis Cardinals schedule and results. Baseball-Reference.com. https://www.baseball-reference.com/teams/STL/2021-schedule-scores.shtml</w:t>
      </w:r>
    </w:p>
    <w:p w14:paraId="7D497747" w14:textId="77777777" w:rsidR="00AB0527" w:rsidRDefault="00AB0527" w:rsidP="00AB0527">
      <w:pPr>
        <w:pStyle w:val="TableFigure"/>
        <w:ind w:left="720" w:hanging="720"/>
      </w:pPr>
    </w:p>
    <w:p w14:paraId="0671E585" w14:textId="77777777" w:rsidR="00AB0527" w:rsidRDefault="00AB0527" w:rsidP="00AB0527">
      <w:pPr>
        <w:pStyle w:val="TableFigure"/>
        <w:ind w:left="720" w:hanging="720"/>
      </w:pPr>
      <w:r>
        <w:t>Sports Reference LLC. (n.d.-b). 2022 St. Louis Cardinals schedule and results. Baseball-Reference.com. https://www.baseball-reference.com/teams/STL/2022-schedule-scores.shtml</w:t>
      </w:r>
    </w:p>
    <w:p w14:paraId="5A7EC30E" w14:textId="77777777" w:rsidR="00AB0527" w:rsidRDefault="00AB0527" w:rsidP="00AB0527">
      <w:pPr>
        <w:pStyle w:val="TableFigure"/>
        <w:ind w:left="720" w:hanging="720"/>
      </w:pPr>
    </w:p>
    <w:p w14:paraId="4C0DE293" w14:textId="77777777" w:rsidR="00AB0527" w:rsidRDefault="00AB0527" w:rsidP="00AB0527">
      <w:pPr>
        <w:pStyle w:val="TableFigure"/>
        <w:ind w:left="720" w:hanging="720"/>
      </w:pPr>
      <w:r>
        <w:t>Sports Reference LLC. (n.d.-c). 2023 St. Louis Cardinals schedule and results. Baseball-Reference.com. https://www.baseball-reference.com/teams/STL/2023-schedule-scores.shtml</w:t>
      </w:r>
    </w:p>
    <w:p w14:paraId="4BBA1039" w14:textId="77777777" w:rsidR="00AB0527" w:rsidRDefault="00AB0527" w:rsidP="00AB0527">
      <w:pPr>
        <w:pStyle w:val="TableFigure"/>
        <w:ind w:left="720" w:hanging="720"/>
      </w:pPr>
    </w:p>
    <w:p w14:paraId="3C0D26FC" w14:textId="77777777" w:rsidR="00AB0527" w:rsidRDefault="00AB0527" w:rsidP="00AB0527">
      <w:pPr>
        <w:pStyle w:val="TableFigure"/>
        <w:ind w:left="720" w:hanging="720"/>
      </w:pPr>
      <w:r>
        <w:lastRenderedPageBreak/>
        <w:t>Sports Reference LLC. (n.d.-d). 2024 St. Louis Cardinals schedule and results. Baseball-Reference.com. https://www.baseball-reference.com/teams/STL/2024-schedule-scores.shtml</w:t>
      </w:r>
    </w:p>
    <w:p w14:paraId="5F9D67F0" w14:textId="77777777" w:rsidR="00AB0527" w:rsidRDefault="00AB0527" w:rsidP="00AB0527">
      <w:pPr>
        <w:pStyle w:val="TableFigure"/>
        <w:ind w:left="720" w:hanging="720"/>
      </w:pPr>
    </w:p>
    <w:p w14:paraId="4904DCD3" w14:textId="34A94C96" w:rsidR="00731191" w:rsidRDefault="00AB0527" w:rsidP="00AB0527">
      <w:pPr>
        <w:pStyle w:val="TableFigure"/>
        <w:ind w:left="720" w:hanging="720"/>
      </w:pPr>
      <w:r>
        <w:t>Sports Reference LLC. (n.d.-e). 2025 St. Louis Cardinals schedule and results. Baseball-Reference.com. https://www.baseball-reference.com/teams/STL/2025-schedule-scores.shtml</w:t>
      </w:r>
    </w:p>
    <w:sectPr w:rsidR="00731191">
      <w:headerReference w:type="default" r:id="rId16"/>
      <w:headerReference w:type="first" r:id="rId17"/>
      <w:footnotePr>
        <w:pos w:val="beneathText"/>
      </w:footnotePr>
      <w:pgSz w:w="12240" w:h="15840" w:code="1"/>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4BD7" w14:textId="77777777" w:rsidR="004E633F" w:rsidRDefault="004E633F">
      <w:pPr>
        <w:spacing w:line="240" w:lineRule="auto"/>
      </w:pPr>
      <w:r>
        <w:separator/>
      </w:r>
    </w:p>
  </w:endnote>
  <w:endnote w:type="continuationSeparator" w:id="0">
    <w:p w14:paraId="4B4363B8" w14:textId="77777777" w:rsidR="004E633F" w:rsidRDefault="004E63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8847" w14:textId="77777777" w:rsidR="004E633F" w:rsidRDefault="004E633F">
      <w:pPr>
        <w:spacing w:line="240" w:lineRule="auto"/>
      </w:pPr>
      <w:r>
        <w:separator/>
      </w:r>
    </w:p>
  </w:footnote>
  <w:footnote w:type="continuationSeparator" w:id="0">
    <w:p w14:paraId="5ADADCB8" w14:textId="77777777" w:rsidR="004E633F" w:rsidRDefault="004E63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882C" w14:textId="122A5289" w:rsidR="00731191" w:rsidRDefault="00000000">
    <w:pPr>
      <w:pStyle w:val="Header"/>
    </w:pPr>
    <w:sdt>
      <w:sdtPr>
        <w:rPr>
          <w:rStyle w:val="Strong"/>
        </w:rPr>
        <w:alias w:val="Running head"/>
        <w:tag w:val=""/>
        <w:id w:val="1072628492"/>
        <w:placeholder>
          <w:docPart w:val="D059EDD811D96A4DBF9A6D605D6BEB72"/>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0512AE">
          <w:rPr>
            <w:rStyle w:val="Strong"/>
          </w:rPr>
          <w:t>Marketing &amp; Revenue Analytics</w:t>
        </w:r>
      </w:sdtContent>
    </w:sdt>
    <w:r>
      <w:rPr>
        <w:rStyle w:val="Strong"/>
      </w:rPr>
      <w:t xml:space="preserve"> </w:t>
    </w: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9</w:t>
    </w:r>
    <w:r>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F05F" w14:textId="577008F0" w:rsidR="00731191" w:rsidRDefault="00FA791E">
    <w:pPr>
      <w:pStyle w:val="Header"/>
      <w:rPr>
        <w:rStyle w:val="Strong"/>
      </w:rPr>
    </w:pPr>
    <w:r>
      <w:t>Marketing &amp; Revenue Analytics</w:t>
    </w:r>
    <w:r>
      <w:rPr>
        <w:rStyle w:val="Strong"/>
      </w:rPr>
      <w:t xml:space="preserve"> </w:t>
    </w: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num w:numId="1" w16cid:durableId="1526018881">
    <w:abstractNumId w:val="9"/>
  </w:num>
  <w:num w:numId="2" w16cid:durableId="607737717">
    <w:abstractNumId w:val="7"/>
  </w:num>
  <w:num w:numId="3" w16cid:durableId="1961913507">
    <w:abstractNumId w:val="6"/>
  </w:num>
  <w:num w:numId="4" w16cid:durableId="821654396">
    <w:abstractNumId w:val="5"/>
  </w:num>
  <w:num w:numId="5" w16cid:durableId="489445057">
    <w:abstractNumId w:val="4"/>
  </w:num>
  <w:num w:numId="6" w16cid:durableId="153643150">
    <w:abstractNumId w:val="8"/>
  </w:num>
  <w:num w:numId="7" w16cid:durableId="483200424">
    <w:abstractNumId w:val="3"/>
  </w:num>
  <w:num w:numId="8" w16cid:durableId="670373782">
    <w:abstractNumId w:val="2"/>
  </w:num>
  <w:num w:numId="9" w16cid:durableId="1681665150">
    <w:abstractNumId w:val="1"/>
  </w:num>
  <w:num w:numId="10" w16cid:durableId="711810373">
    <w:abstractNumId w:val="0"/>
  </w:num>
  <w:num w:numId="11" w16cid:durableId="490416143">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21"/>
    <w:rsid w:val="000512AE"/>
    <w:rsid w:val="00325E21"/>
    <w:rsid w:val="0036655E"/>
    <w:rsid w:val="003C11E0"/>
    <w:rsid w:val="003F0155"/>
    <w:rsid w:val="004E633F"/>
    <w:rsid w:val="005223D8"/>
    <w:rsid w:val="005803FC"/>
    <w:rsid w:val="006525F9"/>
    <w:rsid w:val="006700DE"/>
    <w:rsid w:val="00731191"/>
    <w:rsid w:val="0079425E"/>
    <w:rsid w:val="00847FDB"/>
    <w:rsid w:val="008B273E"/>
    <w:rsid w:val="009772EA"/>
    <w:rsid w:val="00A029C2"/>
    <w:rsid w:val="00A83442"/>
    <w:rsid w:val="00AB0527"/>
    <w:rsid w:val="00D30448"/>
    <w:rsid w:val="00DF3E62"/>
    <w:rsid w:val="00EC7138"/>
    <w:rsid w:val="00F03679"/>
    <w:rsid w:val="00F7775D"/>
    <w:rsid w:val="00FA7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D4D7F"/>
  <w15:chartTrackingRefBased/>
  <w15:docId w15:val="{FE252C8F-ADC5-954B-A5AB-18F73BF7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4"/>
    </w:rPr>
  </w:style>
  <w:style w:type="paragraph" w:styleId="Heading1">
    <w:name w:val="heading 1"/>
    <w:basedOn w:val="Normal"/>
    <w:next w:val="Normal"/>
    <w:link w:val="Heading1Char"/>
    <w:uiPriority w:val="4"/>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4"/>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spacing w:line="240" w:lineRule="auto"/>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ind w:firstLine="0"/>
      <w:contextualSpacing/>
    </w:pPr>
  </w:style>
  <w:style w:type="paragraph" w:styleId="TOCHeading">
    <w:name w:val="TOC Heading"/>
    <w:basedOn w:val="Heading1"/>
    <w:next w:val="Normal"/>
    <w:uiPriority w:val="38"/>
    <w:unhideWhenUsed/>
    <w:qFormat/>
    <w:pPr>
      <w:keepNext w:val="0"/>
      <w:keepLines w:val="0"/>
      <w:pageBreakBefore/>
      <w:outlineLvl w:val="9"/>
    </w:pPr>
    <w:rPr>
      <w:b w:val="0"/>
      <w:bCs w:val="0"/>
      <w:kern w:val="0"/>
      <w:szCs w:val="32"/>
      <w:lang w:eastAsia="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styleId="Hyperlink">
    <w:name w:val="Hyperlink"/>
    <w:basedOn w:val="DefaultParagraphFont"/>
    <w:uiPriority w:val="99"/>
    <w:unhideWhenUsed/>
    <w:rPr>
      <w:color w:val="5F5F5F" w:themeColor="hyperlink"/>
      <w:u w:val="single"/>
    </w:rPr>
  </w:style>
  <w:style w:type="character" w:styleId="UnresolvedMention">
    <w:name w:val="Unresolved Mention"/>
    <w:basedOn w:val="DefaultParagraphFont"/>
    <w:uiPriority w:val="99"/>
    <w:semiHidden/>
    <w:unhideWhenUsed/>
    <w:rsid w:val="005223D8"/>
    <w:rPr>
      <w:color w:val="605E5C"/>
      <w:shd w:val="clear" w:color="auto" w:fill="E1DFDD"/>
    </w:rPr>
  </w:style>
  <w:style w:type="character" w:styleId="FollowedHyperlink">
    <w:name w:val="FollowedHyperlink"/>
    <w:basedOn w:val="DefaultParagraphFont"/>
    <w:uiPriority w:val="99"/>
    <w:semiHidden/>
    <w:unhideWhenUsed/>
    <w:rsid w:val="00AB0527"/>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ylananderson/Library/Containers/com.microsoft.Word/Data/Library/Application%20Support/Microsoft/Office/16.0/DTS/en-US%7b08DBE55C-1CED-FC49-9514-883059829DBD%7d/%7b188E4EDF-EABD-BE45-8D32-F4D0776B3380%7dtf1000209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D6F85168D8564DAD1DBFB37313E7A3"/>
        <w:category>
          <w:name w:val="General"/>
          <w:gallery w:val="placeholder"/>
        </w:category>
        <w:types>
          <w:type w:val="bbPlcHdr"/>
        </w:types>
        <w:behaviors>
          <w:behavior w:val="content"/>
        </w:behaviors>
        <w:guid w:val="{828DF7FA-A2B9-AF4E-8BF4-1D38437DBD75}"/>
      </w:docPartPr>
      <w:docPartBody>
        <w:p w:rsidR="0019247C" w:rsidRDefault="00000000">
          <w:pPr>
            <w:pStyle w:val="09D6F85168D8564DAD1DBFB37313E7A3"/>
          </w:pPr>
          <w:r>
            <w:t>[Title Here, up to 12 Words, on One to Two Lines]</w:t>
          </w:r>
        </w:p>
      </w:docPartBody>
    </w:docPart>
    <w:docPart>
      <w:docPartPr>
        <w:name w:val="E1959A0045996049BA4CAEDC85D07C33"/>
        <w:category>
          <w:name w:val="General"/>
          <w:gallery w:val="placeholder"/>
        </w:category>
        <w:types>
          <w:type w:val="bbPlcHdr"/>
        </w:types>
        <w:behaviors>
          <w:behavior w:val="content"/>
        </w:behaviors>
        <w:guid w:val="{C6010E52-05DA-0E4D-B416-2AED5704AED1}"/>
      </w:docPartPr>
      <w:docPartBody>
        <w:p w:rsidR="0019247C" w:rsidRDefault="00000000">
          <w:pPr>
            <w:pStyle w:val="E1959A0045996049BA4CAEDC85D07C33"/>
          </w:pPr>
          <w:r>
            <w:t>[Title Here, up to 12 Words, on One to Two Lines]</w:t>
          </w:r>
        </w:p>
      </w:docPartBody>
    </w:docPart>
    <w:docPart>
      <w:docPartPr>
        <w:name w:val="D059EDD811D96A4DBF9A6D605D6BEB72"/>
        <w:category>
          <w:name w:val="General"/>
          <w:gallery w:val="placeholder"/>
        </w:category>
        <w:types>
          <w:type w:val="bbPlcHdr"/>
        </w:types>
        <w:behaviors>
          <w:behavior w:val="content"/>
        </w:behaviors>
        <w:guid w:val="{0DC204C2-7D58-F541-8053-79510536D377}"/>
      </w:docPartPr>
      <w:docPartBody>
        <w:p w:rsidR="0019247C" w:rsidRDefault="00000000">
          <w:pPr>
            <w:pStyle w:val="D059EDD811D96A4DBF9A6D605D6BEB72"/>
          </w:pPr>
          <w:r>
            <w:t>[Place all tables for your paper in a tables section, following references (and, if applicable, footnotes).  Start a new page for each table, include a table number and table title for each, as shown on this page.  All explanatory text appears in a table note that follows the table, such as this one.  Use the Table/Figure style to get the spacing between table and note.  Tables in APA format can use single or 1.5 line spacing.  Include a heading for every row and column, even if the content seems obvious.  To insert a table, on the Insert tab, tap Table.  New tables that you create in this document use APA format by default.]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C5"/>
    <w:rsid w:val="0019247C"/>
    <w:rsid w:val="0036655E"/>
    <w:rsid w:val="00997EC5"/>
    <w:rsid w:val="00A70374"/>
    <w:rsid w:val="00A83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4"/>
    <w:unhideWhenUsed/>
    <w:qFormat/>
    <w:pPr>
      <w:keepNext/>
      <w:keepLines/>
      <w:spacing w:after="0" w:line="480" w:lineRule="auto"/>
      <w:ind w:firstLine="720"/>
      <w:outlineLvl w:val="2"/>
    </w:pPr>
    <w:rPr>
      <w:rFonts w:asciiTheme="majorHAnsi" w:eastAsiaTheme="majorEastAsia" w:hAnsiTheme="majorHAnsi" w:cstheme="majorBidi"/>
      <w:b/>
      <w:bCs/>
      <w:kern w:val="24"/>
      <w:lang w:eastAsia="ja-JP"/>
      <w14:ligatures w14:val="none"/>
    </w:rPr>
  </w:style>
  <w:style w:type="paragraph" w:styleId="Heading4">
    <w:name w:val="heading 4"/>
    <w:basedOn w:val="Normal"/>
    <w:next w:val="Normal"/>
    <w:link w:val="Heading4Char"/>
    <w:uiPriority w:val="4"/>
    <w:unhideWhenUsed/>
    <w:qFormat/>
    <w:pPr>
      <w:keepNext/>
      <w:keepLines/>
      <w:spacing w:after="0" w:line="480" w:lineRule="auto"/>
      <w:ind w:firstLine="720"/>
      <w:outlineLvl w:val="3"/>
    </w:pPr>
    <w:rPr>
      <w:rFonts w:asciiTheme="majorHAnsi" w:eastAsiaTheme="majorEastAsia" w:hAnsiTheme="majorHAnsi" w:cstheme="majorBidi"/>
      <w:b/>
      <w:bCs/>
      <w:i/>
      <w:iCs/>
      <w:kern w:val="24"/>
      <w:lang w:eastAsia="ja-JP"/>
      <w14:ligatures w14:val="none"/>
    </w:rPr>
  </w:style>
  <w:style w:type="paragraph" w:styleId="Heading5">
    <w:name w:val="heading 5"/>
    <w:basedOn w:val="Normal"/>
    <w:next w:val="Normal"/>
    <w:link w:val="Heading5Char"/>
    <w:uiPriority w:val="4"/>
    <w:unhideWhenUsed/>
    <w:qFormat/>
    <w:pPr>
      <w:keepNext/>
      <w:keepLines/>
      <w:spacing w:after="0" w:line="480" w:lineRule="auto"/>
      <w:ind w:firstLine="720"/>
      <w:outlineLvl w:val="4"/>
    </w:pPr>
    <w:rPr>
      <w:rFonts w:asciiTheme="majorHAnsi" w:eastAsiaTheme="majorEastAsia" w:hAnsiTheme="majorHAnsi" w:cstheme="majorBidi"/>
      <w:i/>
      <w:iCs/>
      <w:kern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D6F85168D8564DAD1DBFB37313E7A3">
    <w:name w:val="09D6F85168D8564DAD1DBFB37313E7A3"/>
  </w:style>
  <w:style w:type="character" w:styleId="Emphasis">
    <w:name w:val="Emphasis"/>
    <w:basedOn w:val="DefaultParagraphFont"/>
    <w:uiPriority w:val="20"/>
    <w:unhideWhenUsed/>
    <w:qFormat/>
    <w:rPr>
      <w:i/>
      <w:iCs/>
    </w:rPr>
  </w:style>
  <w:style w:type="paragraph" w:customStyle="1" w:styleId="E1959A0045996049BA4CAEDC85D07C33">
    <w:name w:val="E1959A0045996049BA4CAEDC85D07C33"/>
  </w:style>
  <w:style w:type="character" w:customStyle="1" w:styleId="Heading3Char">
    <w:name w:val="Heading 3 Char"/>
    <w:basedOn w:val="DefaultParagraphFont"/>
    <w:link w:val="Heading3"/>
    <w:uiPriority w:val="4"/>
    <w:rPr>
      <w:rFonts w:asciiTheme="majorHAnsi" w:eastAsiaTheme="majorEastAsia" w:hAnsiTheme="majorHAnsi" w:cstheme="majorBidi"/>
      <w:b/>
      <w:bCs/>
      <w:kern w:val="24"/>
      <w:lang w:eastAsia="ja-JP"/>
      <w14:ligatures w14:val="none"/>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lang w:eastAsia="ja-JP"/>
      <w14:ligatures w14:val="none"/>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lang w:eastAsia="ja-JP"/>
      <w14:ligatures w14:val="none"/>
    </w:rPr>
  </w:style>
  <w:style w:type="paragraph" w:styleId="Bibliography">
    <w:name w:val="Bibliography"/>
    <w:basedOn w:val="Normal"/>
    <w:next w:val="Normal"/>
    <w:uiPriority w:val="37"/>
    <w:semiHidden/>
    <w:unhideWhenUsed/>
  </w:style>
  <w:style w:type="paragraph" w:customStyle="1" w:styleId="D059EDD811D96A4DBF9A6D605D6BEB72">
    <w:name w:val="D059EDD811D96A4DBF9A6D605D6BE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Marketing &amp; Revenue Analytics</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8B2303-F514-4E15-89A3-727D86B0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{188E4EDF-EABD-BE45-8D32-F4D0776B3380}tf10002091.dotx</Template>
  <TotalTime>675</TotalTime>
  <Pages>17</Pages>
  <Words>3286</Words>
  <Characters>18732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Marketing &amp; Revenue Analytics</vt:lpstr>
    </vt:vector>
  </TitlesOfParts>
  <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&amp; Revenue Analytics</dc:title>
  <dc:subject/>
  <dc:creator>Microsoft Office User</dc:creator>
  <cp:keywords/>
  <dc:description/>
  <cp:lastModifiedBy>Anderson, Dylan M</cp:lastModifiedBy>
  <cp:revision>18</cp:revision>
  <dcterms:created xsi:type="dcterms:W3CDTF">2026-05-19T02:14:00Z</dcterms:created>
  <dcterms:modified xsi:type="dcterms:W3CDTF">2026-05-24T03:02:00Z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